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6" w:rsidRDefault="00413677">
      <w:pPr>
        <w:spacing w:after="66" w:line="240" w:lineRule="auto"/>
        <w:ind w:left="0" w:firstLine="0"/>
        <w:jc w:val="center"/>
      </w:pPr>
      <w:bookmarkStart w:id="0" w:name="_GoBack"/>
      <w:bookmarkEnd w:id="0"/>
      <w:r>
        <w:rPr>
          <w:b/>
          <w:sz w:val="32"/>
        </w:rPr>
        <w:t xml:space="preserve">BIZTONSÁGI ADATLAP </w:t>
      </w:r>
    </w:p>
    <w:p w:rsidR="00972346" w:rsidRDefault="00413677">
      <w:pPr>
        <w:spacing w:after="198" w:line="240" w:lineRule="auto"/>
        <w:ind w:left="0" w:firstLine="0"/>
        <w:jc w:val="center"/>
      </w:pPr>
      <w:r>
        <w:rPr>
          <w:sz w:val="16"/>
        </w:rPr>
        <w:t xml:space="preserve">készült a 1907/2006/EK rendelet szerint </w:t>
      </w:r>
    </w:p>
    <w:p w:rsidR="00972346" w:rsidRDefault="00413677">
      <w:pPr>
        <w:pStyle w:val="Cmsor1"/>
        <w:spacing w:after="294"/>
        <w:ind w:left="283" w:hanging="298"/>
      </w:pPr>
      <w:r>
        <w:t xml:space="preserve">Az anyag/készítmény és a vállalat/vállalkozás azonosítása </w:t>
      </w:r>
    </w:p>
    <w:p w:rsidR="00972346" w:rsidRDefault="00413677">
      <w:pPr>
        <w:spacing w:after="99" w:line="240" w:lineRule="auto"/>
        <w:ind w:left="142" w:firstLine="0"/>
        <w:jc w:val="left"/>
      </w:pPr>
      <w:r>
        <w:t xml:space="preserve">A készítmény megnevezése:  </w:t>
      </w:r>
      <w:r>
        <w:rPr>
          <w:b/>
          <w:sz w:val="28"/>
        </w:rPr>
        <w:t xml:space="preserve">Superacryl Plus folyadék (liquid) </w:t>
      </w:r>
    </w:p>
    <w:p w:rsidR="00972346" w:rsidRDefault="00413677">
      <w:pPr>
        <w:spacing w:after="91"/>
        <w:ind w:left="1262" w:hanging="1135"/>
      </w:pPr>
      <w:r>
        <w:t xml:space="preserve">Felhasználás: fogsor alaplemez kivehető pótlásokhoz, segédanyag fogszabályozási eljárásokhoz, kivehető pótlások javításához és indirekt alábéleléséhez   –  foglalkozásszerű felhasználásra (orvostechnikai eszköz) </w:t>
      </w:r>
    </w:p>
    <w:p w:rsidR="00972346" w:rsidRDefault="00413677">
      <w:pPr>
        <w:pStyle w:val="Cmsor2"/>
        <w:numPr>
          <w:ilvl w:val="0"/>
          <w:numId w:val="0"/>
        </w:numPr>
      </w:pPr>
      <w:r>
        <w:rPr>
          <w:b w:val="0"/>
        </w:rPr>
        <w:t>Gyártó:</w:t>
      </w:r>
      <w:r>
        <w:t xml:space="preserve"> </w:t>
      </w:r>
      <w:r>
        <w:tab/>
        <w:t xml:space="preserve">SpofaDental a.s. </w:t>
      </w:r>
    </w:p>
    <w:p w:rsidR="00972346" w:rsidRDefault="00413677">
      <w:pPr>
        <w:ind w:left="1287"/>
      </w:pPr>
      <w:r>
        <w:t>Markova 238, CZ-</w:t>
      </w:r>
      <w:r>
        <w:t xml:space="preserve">506 46 Jičin – Cseh Köztársaság </w:t>
      </w:r>
    </w:p>
    <w:p w:rsidR="00972346" w:rsidRDefault="00413677">
      <w:pPr>
        <w:ind w:left="1287"/>
      </w:pPr>
      <w:r>
        <w:t xml:space="preserve">Telefon: 420 493 583 204 Fax: 420 493 583 333 </w:t>
      </w:r>
    </w:p>
    <w:p w:rsidR="00972346" w:rsidRDefault="00413677">
      <w:pPr>
        <w:ind w:left="1287"/>
      </w:pPr>
      <w:r>
        <w:t xml:space="preserve">E-mail: info@spofadental.com </w:t>
      </w:r>
    </w:p>
    <w:p w:rsidR="00972346" w:rsidRDefault="00413677">
      <w:pPr>
        <w:spacing w:after="88"/>
        <w:ind w:left="1287"/>
      </w:pPr>
      <w:r>
        <w:t xml:space="preserve">Vészhelyzeti telefon: 39 081 8508 325 (08.00 – 17.00) </w:t>
      </w:r>
    </w:p>
    <w:p w:rsidR="00972346" w:rsidRDefault="00413677">
      <w:pPr>
        <w:spacing w:after="91"/>
        <w:ind w:left="1277" w:right="5699" w:hanging="1135"/>
        <w:jc w:val="left"/>
      </w:pPr>
      <w:r>
        <w:t>Forgalmazó: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b/>
        </w:rPr>
        <w:t>SpofaDental a.s. Képviselet</w:t>
      </w:r>
      <w:r>
        <w:t xml:space="preserve"> 1143 Bp. Stefánia út 18. I./6. fax: +36 1 383 3861</w:t>
      </w:r>
      <w:r>
        <w:t xml:space="preserve"> telefon: +36 209 711 896 </w:t>
      </w:r>
    </w:p>
    <w:p w:rsidR="00972346" w:rsidRDefault="00413677">
      <w:pPr>
        <w:spacing w:after="89"/>
      </w:pPr>
      <w:r>
        <w:t xml:space="preserve">A biztonsági adatlapért felelős személy elérhetősége: Laszlo.Bulla@KerrHawe.com </w:t>
      </w:r>
    </w:p>
    <w:p w:rsidR="00972346" w:rsidRDefault="00413677">
      <w:pPr>
        <w:spacing w:after="197" w:line="247" w:lineRule="auto"/>
        <w:ind w:left="0" w:right="654" w:firstLine="0"/>
        <w:jc w:val="right"/>
      </w:pPr>
      <w:r>
        <w:t xml:space="preserve">Sürgősségi telefon Egészségügyi Toxikológiai Tájékoztató Szolgálat (ETTSZ):  </w:t>
      </w:r>
      <w:r>
        <w:tab/>
        <w:t xml:space="preserve">napközben (36) 1 476 6464  </w:t>
      </w:r>
      <w:r>
        <w:tab/>
        <w:t>éjjel-nappal hívható szám: (36) 80 20 11 9</w:t>
      </w:r>
      <w:r>
        <w:t xml:space="preserve">9 </w:t>
      </w:r>
    </w:p>
    <w:p w:rsidR="00972346" w:rsidRDefault="00413677">
      <w:pPr>
        <w:pStyle w:val="Cmsor1"/>
        <w:ind w:left="283" w:hanging="298"/>
      </w:pPr>
      <w:r>
        <w:t xml:space="preserve">A veszélyek azonosítása </w:t>
      </w:r>
    </w:p>
    <w:p w:rsidR="00972346" w:rsidRDefault="00413677">
      <w:pPr>
        <w:spacing w:after="89"/>
      </w:pPr>
      <w:r>
        <w:t xml:space="preserve">A vonatkozó uniós szabályozás (67/548/EGK és 1999/45/EK irányelvek), valamint a 44/2000. (XII.27.) EüM rendelet és módosításai szerint a termék veszélyes készítmény. </w:t>
      </w:r>
    </w:p>
    <w:p w:rsidR="00972346" w:rsidRDefault="00413677">
      <w:r>
        <w:t xml:space="preserve">EK-veszélyjelek: </w:t>
      </w:r>
      <w:r>
        <w:tab/>
        <w:t xml:space="preserve">F </w:t>
      </w:r>
      <w:r>
        <w:tab/>
        <w:t xml:space="preserve">Tűzveszélyes </w:t>
      </w:r>
    </w:p>
    <w:p w:rsidR="00972346" w:rsidRDefault="00413677">
      <w:r>
        <w:t xml:space="preserve"> </w:t>
      </w:r>
      <w:r>
        <w:tab/>
        <w:t xml:space="preserve">Xi </w:t>
      </w:r>
      <w:r>
        <w:tab/>
        <w:t xml:space="preserve">Irritatív </w:t>
      </w:r>
    </w:p>
    <w:p w:rsidR="00972346" w:rsidRDefault="00413677">
      <w:pPr>
        <w:ind w:left="1208" w:right="-15"/>
        <w:jc w:val="left"/>
      </w:pPr>
      <w:r>
        <w:rPr>
          <w:sz w:val="14"/>
        </w:rPr>
        <w:t xml:space="preserve">F </w:t>
      </w:r>
      <w:r>
        <w:rPr>
          <w:sz w:val="14"/>
        </w:rPr>
        <w:tab/>
        <w:t xml:space="preserve">Xi </w:t>
      </w:r>
    </w:p>
    <w:p w:rsidR="00972346" w:rsidRDefault="00413677">
      <w:pPr>
        <w:spacing w:after="0" w:line="240" w:lineRule="auto"/>
        <w:ind w:left="827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20700" cy="517525"/>
            <wp:effectExtent l="0" t="0" r="0" b="0"/>
            <wp:docPr id="7274" name="Picture 7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" name="Picture 7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18160" cy="51816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</w:p>
    <w:p w:rsidR="00972346" w:rsidRDefault="00413677">
      <w:pPr>
        <w:ind w:left="828" w:right="-15"/>
        <w:jc w:val="left"/>
      </w:pPr>
      <w:r>
        <w:rPr>
          <w:sz w:val="14"/>
        </w:rPr>
        <w:t xml:space="preserve">Tűzveszélyes </w:t>
      </w:r>
      <w:r>
        <w:rPr>
          <w:sz w:val="14"/>
        </w:rPr>
        <w:tab/>
        <w:t>Irritatív</w:t>
      </w:r>
      <w:r>
        <w:rPr>
          <w:rFonts w:ascii="Arial" w:eastAsia="Arial" w:hAnsi="Arial" w:cs="Arial"/>
          <w:sz w:val="14"/>
        </w:rPr>
        <w:t xml:space="preserve"> </w:t>
      </w:r>
    </w:p>
    <w:p w:rsidR="00972346" w:rsidRDefault="00413677">
      <w:r>
        <w:t xml:space="preserve">A készítmény veszélyeire/kockázataira utaló R-mondatok: </w:t>
      </w:r>
    </w:p>
    <w:p w:rsidR="00972346" w:rsidRDefault="00413677">
      <w:r>
        <w:t xml:space="preserve">R 11 </w:t>
      </w:r>
      <w:r>
        <w:tab/>
        <w:t xml:space="preserve">Tűzveszélyes </w:t>
      </w:r>
    </w:p>
    <w:p w:rsidR="00972346" w:rsidRDefault="00413677">
      <w:r>
        <w:t xml:space="preserve">R 36/37/38 Szem- és bőrizgató hatású, izgatja a légutakat </w:t>
      </w:r>
    </w:p>
    <w:p w:rsidR="00972346" w:rsidRDefault="00413677">
      <w:r>
        <w:t xml:space="preserve">R 43 </w:t>
      </w:r>
      <w:r>
        <w:tab/>
        <w:t xml:space="preserve">Bőrrel érintkezve túlérzékenységet okozhat (szenzibilizáló hatású lehet) </w:t>
      </w:r>
    </w:p>
    <w:p w:rsidR="00972346" w:rsidRDefault="00413677">
      <w:pPr>
        <w:spacing w:after="197"/>
      </w:pPr>
      <w:r>
        <w:t xml:space="preserve">R 52/53 </w:t>
      </w:r>
      <w:r>
        <w:tab/>
        <w:t>Á</w:t>
      </w:r>
      <w:r>
        <w:t xml:space="preserve">rtalmas a vízi szervezetekre, a vízi környezetben hosszantartó károsodást okozhat </w:t>
      </w:r>
    </w:p>
    <w:p w:rsidR="00972346" w:rsidRDefault="00413677">
      <w:pPr>
        <w:pStyle w:val="Cmsor1"/>
        <w:ind w:left="283" w:hanging="298"/>
      </w:pPr>
      <w:r>
        <w:t xml:space="preserve">Összetétel/tájékoztatás az alkotórészekről </w:t>
      </w:r>
    </w:p>
    <w:tbl>
      <w:tblPr>
        <w:tblStyle w:val="TableGrid"/>
        <w:tblW w:w="7739" w:type="dxa"/>
        <w:tblInd w:w="809" w:type="dxa"/>
        <w:tblCellMar>
          <w:top w:w="0" w:type="dxa"/>
          <w:left w:w="2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1632"/>
        <w:gridCol w:w="3161"/>
      </w:tblGrid>
      <w:tr w:rsidR="00972346">
        <w:trPr>
          <w:trHeight w:val="34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Veszélyes komponensek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Koncentráció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290" w:firstLine="0"/>
              <w:jc w:val="left"/>
            </w:pPr>
            <w:r>
              <w:rPr>
                <w:b/>
              </w:rPr>
              <w:t xml:space="preserve">Veszélyjel, R-mondatok </w:t>
            </w:r>
          </w:p>
        </w:tc>
      </w:tr>
      <w:tr w:rsidR="00972346">
        <w:trPr>
          <w:trHeight w:val="26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84" w:firstLine="0"/>
              <w:jc w:val="left"/>
            </w:pPr>
            <w:r>
              <w:t xml:space="preserve">Metil-metakrilát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97234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972346">
            <w:pPr>
              <w:spacing w:after="0" w:line="276" w:lineRule="auto"/>
              <w:ind w:left="0" w:firstLine="0"/>
              <w:jc w:val="left"/>
            </w:pPr>
          </w:p>
        </w:tc>
      </w:tr>
      <w:tr w:rsidR="00972346">
        <w:trPr>
          <w:trHeight w:val="635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29" w:line="240" w:lineRule="auto"/>
              <w:ind w:left="84" w:firstLine="0"/>
              <w:jc w:val="left"/>
            </w:pPr>
            <w:r>
              <w:t xml:space="preserve">CAS-szám: 80-62-6 </w:t>
            </w:r>
          </w:p>
          <w:p w:rsidR="00972346" w:rsidRDefault="00413677">
            <w:pPr>
              <w:spacing w:after="32" w:line="240" w:lineRule="auto"/>
              <w:ind w:left="84" w:firstLine="0"/>
              <w:jc w:val="left"/>
            </w:pPr>
            <w:r>
              <w:t xml:space="preserve">EK-szám: 201-297-1 </w:t>
            </w:r>
          </w:p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t>Index-szám:</w:t>
            </w:r>
            <w:r>
              <w:rPr>
                <w:rFonts w:ascii="Arial" w:eastAsia="Arial" w:hAnsi="Arial" w:cs="Arial"/>
                <w:color w:val="20408F"/>
                <w:sz w:val="12"/>
              </w:rPr>
              <w:t xml:space="preserve"> </w:t>
            </w:r>
            <w:r>
              <w:t xml:space="preserve">607-035-00-6 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214" w:firstLine="0"/>
              <w:jc w:val="left"/>
            </w:pPr>
            <w:r>
              <w:t xml:space="preserve">80 – 95% </w:t>
            </w:r>
          </w:p>
        </w:tc>
        <w:tc>
          <w:tcPr>
            <w:tcW w:w="3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left"/>
            </w:pPr>
            <w:r>
              <w:t xml:space="preserve">F, Xi, R 11-36/37/38-43  </w:t>
            </w:r>
          </w:p>
        </w:tc>
      </w:tr>
      <w:tr w:rsidR="00972346">
        <w:trPr>
          <w:trHeight w:val="26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84" w:firstLine="0"/>
              <w:jc w:val="left"/>
            </w:pPr>
            <w:r>
              <w:t xml:space="preserve">Etilén-metakrilát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97234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972346">
            <w:pPr>
              <w:spacing w:after="0" w:line="276" w:lineRule="auto"/>
              <w:ind w:left="0" w:firstLine="0"/>
              <w:jc w:val="left"/>
            </w:pPr>
          </w:p>
        </w:tc>
      </w:tr>
      <w:tr w:rsidR="00972346">
        <w:trPr>
          <w:trHeight w:val="637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32" w:line="240" w:lineRule="auto"/>
              <w:ind w:left="84" w:firstLine="0"/>
              <w:jc w:val="left"/>
            </w:pPr>
            <w:r>
              <w:t xml:space="preserve">CAS-szám: 97-90-5 </w:t>
            </w:r>
          </w:p>
          <w:p w:rsidR="00972346" w:rsidRDefault="00413677">
            <w:pPr>
              <w:spacing w:after="30" w:line="240" w:lineRule="auto"/>
              <w:ind w:left="84" w:firstLine="0"/>
              <w:jc w:val="left"/>
            </w:pPr>
            <w:r>
              <w:t xml:space="preserve">EK-szám: 202-617-2 </w:t>
            </w:r>
          </w:p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t>Index-szám:</w:t>
            </w:r>
            <w:r>
              <w:rPr>
                <w:rFonts w:ascii="Arial" w:eastAsia="Arial" w:hAnsi="Arial" w:cs="Arial"/>
                <w:color w:val="20408F"/>
                <w:sz w:val="12"/>
              </w:rPr>
              <w:t xml:space="preserve"> </w:t>
            </w:r>
            <w:r>
              <w:t xml:space="preserve">607-114-00-5 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t xml:space="preserve">5 – 10% </w:t>
            </w:r>
          </w:p>
        </w:tc>
        <w:tc>
          <w:tcPr>
            <w:tcW w:w="3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left"/>
            </w:pPr>
            <w:r>
              <w:t xml:space="preserve">Xi, R 36/37-43 </w:t>
            </w:r>
          </w:p>
        </w:tc>
      </w:tr>
      <w:tr w:rsidR="00972346">
        <w:trPr>
          <w:trHeight w:val="26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84" w:firstLine="0"/>
              <w:jc w:val="left"/>
            </w:pPr>
            <w:r>
              <w:t xml:space="preserve">Dipentén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97234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346" w:rsidRDefault="00972346">
            <w:pPr>
              <w:spacing w:after="0" w:line="276" w:lineRule="auto"/>
              <w:ind w:left="0" w:firstLine="0"/>
              <w:jc w:val="left"/>
            </w:pPr>
          </w:p>
        </w:tc>
      </w:tr>
      <w:tr w:rsidR="00972346">
        <w:trPr>
          <w:trHeight w:val="671"/>
        </w:trPr>
        <w:tc>
          <w:tcPr>
            <w:tcW w:w="2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29" w:line="240" w:lineRule="auto"/>
              <w:ind w:left="84" w:firstLine="0"/>
              <w:jc w:val="left"/>
            </w:pPr>
            <w:r>
              <w:lastRenderedPageBreak/>
              <w:t xml:space="preserve">CAS-szám: 138-86-3 </w:t>
            </w:r>
          </w:p>
          <w:p w:rsidR="00972346" w:rsidRDefault="00413677">
            <w:pPr>
              <w:spacing w:after="32" w:line="240" w:lineRule="auto"/>
              <w:ind w:left="84" w:firstLine="0"/>
              <w:jc w:val="left"/>
            </w:pPr>
            <w:r>
              <w:t xml:space="preserve">EK-szám: 205-341-0 </w:t>
            </w:r>
          </w:p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t>Index-szám:</w:t>
            </w:r>
            <w:r>
              <w:rPr>
                <w:rFonts w:ascii="Arial" w:eastAsia="Arial" w:hAnsi="Arial" w:cs="Arial"/>
                <w:color w:val="20408F"/>
                <w:sz w:val="12"/>
              </w:rPr>
              <w:t xml:space="preserve"> </w:t>
            </w:r>
            <w:r>
              <w:t xml:space="preserve">601-029-00-7 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center"/>
            </w:pPr>
            <w:r>
              <w:t>&lt;</w:t>
            </w:r>
            <w:r>
              <w:t xml:space="preserve">3% </w:t>
            </w:r>
          </w:p>
        </w:tc>
        <w:tc>
          <w:tcPr>
            <w:tcW w:w="3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6" w:rsidRDefault="00413677">
            <w:pPr>
              <w:spacing w:after="0" w:line="276" w:lineRule="auto"/>
              <w:ind w:left="0" w:firstLine="0"/>
              <w:jc w:val="left"/>
            </w:pPr>
            <w:r>
              <w:t xml:space="preserve">Xi, N, R 10-38-43-50/53 </w:t>
            </w:r>
          </w:p>
        </w:tc>
      </w:tr>
    </w:tbl>
    <w:p w:rsidR="00972346" w:rsidRDefault="00413677">
      <w:pPr>
        <w:spacing w:after="64" w:line="247" w:lineRule="auto"/>
      </w:pPr>
      <w:r>
        <w:rPr>
          <w:sz w:val="16"/>
        </w:rPr>
        <w:t>A gyártó más veszélyes komponens jelenlétét nem jelzi. Az egyéb, nem jelzett komponensek nem tekinthetők a hatályos jogszabályok szerint veszélyes anyagnak, vagy koncentrációjuk a készítményben nem éri el azt a mértéket, amely</w:t>
      </w:r>
      <w:r>
        <w:rPr>
          <w:sz w:val="16"/>
        </w:rPr>
        <w:t xml:space="preserve"> fölött jelenlétüket a biztonsági adatlapon fel kell tüntetni, és a veszélyesség szerinti besorolásnál figyelembe kell venni. </w:t>
      </w:r>
    </w:p>
    <w:p w:rsidR="00972346" w:rsidRDefault="00413677">
      <w:pPr>
        <w:spacing w:after="0" w:line="247" w:lineRule="auto"/>
      </w:pPr>
      <w:r>
        <w:rPr>
          <w:sz w:val="16"/>
        </w:rPr>
        <w:t xml:space="preserve">A fenti veszélyjelek és R-mondatok a tiszta komponensekre vonatkoznak, a készítmény veszélyesség szerinti besorolását a 2. és  15. pont adja meg. Az R-mondatok teljes szövegét lásd a 16. pontban. </w:t>
      </w:r>
    </w:p>
    <w:p w:rsidR="00972346" w:rsidRDefault="00413677">
      <w:pPr>
        <w:pStyle w:val="Cmsor1"/>
        <w:ind w:left="283" w:hanging="298"/>
      </w:pPr>
      <w:r>
        <w:t xml:space="preserve">Elsősegélynyújtási intézkedések  </w:t>
      </w:r>
    </w:p>
    <w:p w:rsidR="00972346" w:rsidRDefault="00413677">
      <w:r>
        <w:rPr>
          <w:b/>
        </w:rPr>
        <w:t>4.1</w:t>
      </w:r>
      <w:r>
        <w:t xml:space="preserve">. </w:t>
      </w:r>
      <w:r>
        <w:rPr>
          <w:b/>
        </w:rPr>
        <w:t>Általános tudnivalók</w:t>
      </w:r>
      <w:r>
        <w:rPr>
          <w:b/>
        </w:rPr>
        <w:t>:</w:t>
      </w:r>
      <w:r>
        <w:t xml:space="preserve"> Minden jelenlévőt helyezzünk biztonságba. Kerüljük a pánikot! Biztosítsunk nyugalmat és pihenést az érintett személyeknek. A további expozíciót kerüljük el. Öntudatlan vagy görcsös állapotban lévő beteggel folyadékot itatni vagy annál hányást kiváltani n</w:t>
      </w:r>
      <w:r>
        <w:t xml:space="preserve">em szabad! Amennyiben mérgezési tünetek jelentkeznek, vagy mérgezés gyanúja merül fel, azonnal hívjunk orvost, és mutassuk meg a készítmény címkéjét, illetve biztonsági adatlapját.  </w:t>
      </w:r>
    </w:p>
    <w:p w:rsidR="00972346" w:rsidRDefault="00413677">
      <w:r>
        <w:rPr>
          <w:b/>
        </w:rPr>
        <w:t>4.2. Belégzés:</w:t>
      </w:r>
      <w:r>
        <w:t xml:space="preserve"> Biztosítsunk friss levegőt a helyiségben, szellőztessünk! </w:t>
      </w:r>
      <w:r>
        <w:t xml:space="preserve">Vigyük a sérültet friss levegőre; panaszok, irritáció esetén hívjuk orvost!  </w:t>
      </w:r>
    </w:p>
    <w:p w:rsidR="00972346" w:rsidRDefault="00413677">
      <w:r>
        <w:rPr>
          <w:b/>
        </w:rPr>
        <w:t>4.3. Bőrrejutás esetén:</w:t>
      </w:r>
      <w:r>
        <w:t xml:space="preserve"> Az érintett bőrfelületet mossuk le vízzel és szappannal, használjunk bőrvédő kenőcsöt! Ha a bőr nagy felületen érintett forduljunk orvoshoz! </w:t>
      </w:r>
      <w:r>
        <w:rPr>
          <w:b/>
        </w:rPr>
        <w:t xml:space="preserve">  </w:t>
      </w:r>
    </w:p>
    <w:p w:rsidR="00972346" w:rsidRDefault="00413677">
      <w:r>
        <w:rPr>
          <w:b/>
        </w:rPr>
        <w:t>4.4. Szemb</w:t>
      </w:r>
      <w:r>
        <w:rPr>
          <w:b/>
        </w:rPr>
        <w:t>ejutás esetén:</w:t>
      </w:r>
      <w:r>
        <w:t xml:space="preserve"> 15 percig tartó szemöblítést kell végezni langyos vízzel a szemhéjszélek széthúzása és a szemgolyó állandó mozgatása közben.  </w:t>
      </w:r>
    </w:p>
    <w:p w:rsidR="00972346" w:rsidRDefault="00413677">
      <w:pPr>
        <w:spacing w:after="198"/>
      </w:pPr>
      <w:r>
        <w:rPr>
          <w:b/>
        </w:rPr>
        <w:t>4.5. Lenyelés esetén:</w:t>
      </w:r>
      <w:r>
        <w:t xml:space="preserve"> Ne hánytassunk! A sérült alaposan öblítse ki szájüregét vízzel! Forduljunk orvoshoz.  </w:t>
      </w:r>
    </w:p>
    <w:p w:rsidR="00972346" w:rsidRDefault="00413677">
      <w:pPr>
        <w:pStyle w:val="Cmsor1"/>
        <w:ind w:left="283" w:hanging="298"/>
      </w:pPr>
      <w:r>
        <w:t>Tűzvé</w:t>
      </w:r>
      <w:r>
        <w:t xml:space="preserve">delmi intézkedések  </w:t>
      </w:r>
    </w:p>
    <w:p w:rsidR="00972346" w:rsidRDefault="00413677">
      <w:pPr>
        <w:spacing w:after="89"/>
      </w:pPr>
      <w:r>
        <w:rPr>
          <w:b/>
        </w:rPr>
        <w:t>5.1 Megfelelő oltóanyag:</w:t>
      </w:r>
      <w:r>
        <w:t xml:space="preserve"> oltópor, oltóhab szén-dioxid  </w:t>
      </w:r>
    </w:p>
    <w:p w:rsidR="00972346" w:rsidRDefault="00413677">
      <w:pPr>
        <w:pStyle w:val="Cmsor2"/>
        <w:ind w:left="521" w:hanging="394"/>
      </w:pPr>
      <w:r>
        <w:t>Nem megfelelő oltóanyag:</w:t>
      </w:r>
      <w:r>
        <w:rPr>
          <w:b w:val="0"/>
        </w:rPr>
        <w:t xml:space="preserve"> erős, irányított vízsugár  </w:t>
      </w:r>
    </w:p>
    <w:p w:rsidR="00972346" w:rsidRDefault="00413677">
      <w:pPr>
        <w:spacing w:after="91"/>
      </w:pPr>
      <w:r>
        <w:rPr>
          <w:b/>
        </w:rPr>
        <w:t xml:space="preserve">5.3. Különleges tűz- és robbanásveszély: </w:t>
      </w:r>
      <w:r>
        <w:t>a termék gőzei a levegővel robbanóképes elegyet képezhetnek; robbanási határok: alsó:</w:t>
      </w:r>
      <w:r>
        <w:t xml:space="preserve"> 2,1%, felső: 12,5%  </w:t>
      </w:r>
    </w:p>
    <w:p w:rsidR="00972346" w:rsidRDefault="00413677">
      <w:pPr>
        <w:spacing w:after="199"/>
      </w:pPr>
      <w:r>
        <w:rPr>
          <w:b/>
        </w:rPr>
        <w:t>5.4. Tűz esetén használatos védőeszközök:</w:t>
      </w:r>
      <w:r>
        <w:t xml:space="preserve"> egyéni védőfelszerelések, megfelelő védőruha és környezet levegőjétől független légzőkészülék  </w:t>
      </w:r>
    </w:p>
    <w:p w:rsidR="00972346" w:rsidRDefault="00413677">
      <w:pPr>
        <w:pStyle w:val="Cmsor1"/>
        <w:ind w:left="283" w:hanging="298"/>
      </w:pPr>
      <w:r>
        <w:t xml:space="preserve">Intézkedések véletlenszerű kibocsátás esetén  </w:t>
      </w:r>
    </w:p>
    <w:p w:rsidR="00972346" w:rsidRDefault="00413677">
      <w:pPr>
        <w:spacing w:after="89"/>
      </w:pPr>
      <w:r>
        <w:rPr>
          <w:b/>
        </w:rPr>
        <w:t>6.1. Személyekre vonatkozó óvintézkedések:</w:t>
      </w:r>
      <w:r>
        <w:t xml:space="preserve"> Biztosítsunk megfelelő légcserét! Szellőztessünk! A gőzöket ne lélegezzük be! Kerüljük a készítménnyel történő expozíciót! Használjunk gumikesztyűt és a szivárgás/folyás mértékétől függően védőkötényt (lásd a 8. pontot). Távolítsunk el minden gyújtóforrás</w:t>
      </w:r>
      <w:r>
        <w:t xml:space="preserve">t! Tilos a dohányzás!  </w:t>
      </w:r>
    </w:p>
    <w:p w:rsidR="00972346" w:rsidRDefault="00413677">
      <w:pPr>
        <w:spacing w:after="89"/>
      </w:pPr>
      <w:r>
        <w:rPr>
          <w:b/>
        </w:rPr>
        <w:t>6.2. Környezetvédelmi óvintézkedések:</w:t>
      </w:r>
      <w:r>
        <w:t xml:space="preserve"> Megfelelő óvintézkedésekkel akadályozzuk meg, hogy a készítmény a véletlen kiömlése során nagy mennyiségben a lefolyókba, közcsatornába kerülhessen.  </w:t>
      </w:r>
    </w:p>
    <w:p w:rsidR="00972346" w:rsidRDefault="00413677">
      <w:pPr>
        <w:spacing w:after="199"/>
      </w:pPr>
      <w:r>
        <w:rPr>
          <w:b/>
        </w:rPr>
        <w:t>6.3. Kiömlés esetén:</w:t>
      </w:r>
      <w:r>
        <w:t xml:space="preserve"> Meg kell akadályozni a</w:t>
      </w:r>
      <w:r>
        <w:t xml:space="preserve">z anyag elfolyását. A nagy mennyiségű kiömlött anyagot nem gyúlékony, inert folyadékfelszívó anyaggal (pl. homok, perlit, vermikulit) kell befedni, felitatni, összegyűjteni és a helyi előírásoknak megfelelően megsemmisíteni.  </w:t>
      </w:r>
    </w:p>
    <w:p w:rsidR="00972346" w:rsidRDefault="00413677">
      <w:pPr>
        <w:pStyle w:val="Cmsor1"/>
        <w:ind w:left="283" w:hanging="298"/>
      </w:pPr>
      <w:r>
        <w:t xml:space="preserve">Kezelés és tárolás  </w:t>
      </w:r>
    </w:p>
    <w:p w:rsidR="00972346" w:rsidRDefault="00413677">
      <w:r>
        <w:rPr>
          <w:b/>
        </w:rPr>
        <w:t>7.1.</w:t>
      </w:r>
      <w:r>
        <w:t xml:space="preserve"> </w:t>
      </w:r>
      <w:r>
        <w:rPr>
          <w:b/>
        </w:rPr>
        <w:t>Kez</w:t>
      </w:r>
      <w:r>
        <w:rPr>
          <w:b/>
        </w:rPr>
        <w:t>elés:</w:t>
      </w:r>
      <w:r>
        <w:t xml:space="preserve"> A terméket jól lezárva, jól szellőző helyen, gyújtóforrásoktól távol kell tárolni. A termékkel történő munkavégzés során nem szabad dohányozni, tilos a nyílt láng használata. A munkaterületén lévő elektromos készülékek robbanás biztosak legyenek. A s</w:t>
      </w:r>
      <w:r>
        <w:t xml:space="preserve">ztatikus feltöltődés ellen védekezni kell. A terméket, maradékait, hulladékát ne jutassuk a csatornahálózatba. Megfelelő védőruházat és védőkesztyű használat szükséges. Kerüljük a termék bőrrel történő érintkezését.  </w:t>
      </w:r>
    </w:p>
    <w:p w:rsidR="00972346" w:rsidRDefault="00413677">
      <w:pPr>
        <w:spacing w:after="92"/>
      </w:pPr>
      <w:r>
        <w:t>Higiéniai intézkedések: munka után mel</w:t>
      </w:r>
      <w:r>
        <w:t xml:space="preserve">eg vízzel és szappannal alaposan mossunk kezet.  </w:t>
      </w:r>
    </w:p>
    <w:p w:rsidR="00972346" w:rsidRDefault="00413677">
      <w:pPr>
        <w:spacing w:after="92"/>
      </w:pPr>
      <w:r>
        <w:rPr>
          <w:b/>
        </w:rPr>
        <w:t xml:space="preserve">7.2. Tárolás: </w:t>
      </w:r>
      <w:r>
        <w:t xml:space="preserve">Hűvös helyen jól lezárva, hőforrástól távol tartandó!  </w:t>
      </w:r>
    </w:p>
    <w:p w:rsidR="00972346" w:rsidRDefault="00413677">
      <w:pPr>
        <w:spacing w:after="197"/>
      </w:pPr>
      <w:r>
        <w:rPr>
          <w:b/>
        </w:rPr>
        <w:t xml:space="preserve">7.3. Speciális használat: </w:t>
      </w:r>
      <w:r>
        <w:t xml:space="preserve">az 1.2 pont alapján a termék orvostechnikai eszköz lásd: 93/42/EGK </w:t>
      </w:r>
      <w:r>
        <w:rPr>
          <w:b/>
        </w:rPr>
        <w:t xml:space="preserve"> </w:t>
      </w:r>
    </w:p>
    <w:p w:rsidR="00972346" w:rsidRDefault="00413677">
      <w:pPr>
        <w:pStyle w:val="Cmsor1"/>
        <w:ind w:left="283" w:hanging="298"/>
      </w:pPr>
      <w:r>
        <w:t>Az expozíció korlátozása és ellenőrzése/s</w:t>
      </w:r>
      <w:r>
        <w:t xml:space="preserve">zemélyi védőfelszerelések  </w:t>
      </w:r>
    </w:p>
    <w:p w:rsidR="00972346" w:rsidRDefault="00413677">
      <w:r>
        <w:rPr>
          <w:b/>
        </w:rPr>
        <w:t>8.1. Foglalkozási expozíciós határérték:</w:t>
      </w:r>
      <w:r>
        <w:t xml:space="preserve"> (munkahelyi levegőben megengedett határérték):  </w:t>
      </w:r>
    </w:p>
    <w:p w:rsidR="00972346" w:rsidRDefault="00413677">
      <w:r>
        <w:lastRenderedPageBreak/>
        <w:t>Metil-metakrilát: ÁK: 210 mg/m</w:t>
      </w:r>
      <w:r>
        <w:rPr>
          <w:vertAlign w:val="superscript"/>
        </w:rPr>
        <w:t>3</w:t>
      </w:r>
      <w:r>
        <w:t>, CK: 210 mg/m</w:t>
      </w:r>
      <w:r>
        <w:rPr>
          <w:vertAlign w:val="superscript"/>
        </w:rPr>
        <w:t xml:space="preserve">3 </w:t>
      </w:r>
      <w:r>
        <w:t xml:space="preserve">— 25/2000. (IX.30.) EüM-SzCsM </w:t>
      </w:r>
    </w:p>
    <w:p w:rsidR="00972346" w:rsidRDefault="00413677">
      <w:pPr>
        <w:spacing w:after="64" w:line="247" w:lineRule="auto"/>
        <w:ind w:left="552" w:hanging="425"/>
      </w:pPr>
      <w:r>
        <w:rPr>
          <w:sz w:val="16"/>
        </w:rPr>
        <w:t xml:space="preserve">ÁK: Megengedett átlagos koncentráció: az anyagnak a munkahely levegőjében egy műszakra megengedett átlagkoncentrációja, amely a dolgozó egészségére nem fejt ki káros hatást. </w:t>
      </w:r>
    </w:p>
    <w:p w:rsidR="00972346" w:rsidRDefault="00413677">
      <w:pPr>
        <w:spacing w:after="150" w:line="247" w:lineRule="auto"/>
      </w:pPr>
      <w:r>
        <w:rPr>
          <w:sz w:val="16"/>
        </w:rPr>
        <w:t>CK: Megengedett csúcskoncentráció, rövid ideig megengedhető legnagyobb levegőszen</w:t>
      </w:r>
      <w:r>
        <w:rPr>
          <w:sz w:val="16"/>
        </w:rPr>
        <w:t xml:space="preserve">nyezettség egy műszakon belül. </w:t>
      </w:r>
    </w:p>
    <w:p w:rsidR="00972346" w:rsidRDefault="00413677">
      <w:r>
        <w:t>Egyéb határértékek:</w:t>
      </w:r>
      <w:r>
        <w:rPr>
          <w:sz w:val="16"/>
        </w:rPr>
        <w:t xml:space="preserve"> </w:t>
      </w:r>
      <w:r>
        <w:t>PEL: 50 mg/m</w:t>
      </w:r>
      <w:r>
        <w:rPr>
          <w:vertAlign w:val="superscript"/>
        </w:rPr>
        <w:t>3</w:t>
      </w:r>
      <w:r>
        <w:t>; az expozíció megengedhető szintje</w:t>
      </w:r>
      <w:r>
        <w:rPr>
          <w:vertAlign w:val="superscript"/>
        </w:rPr>
        <w:t xml:space="preserve"> </w:t>
      </w:r>
    </w:p>
    <w:p w:rsidR="00972346" w:rsidRDefault="00413677">
      <w:pPr>
        <w:spacing w:after="90"/>
        <w:ind w:left="1853"/>
      </w:pPr>
      <w:r>
        <w:t>NPK-P:</w:t>
      </w:r>
      <w:r>
        <w:rPr>
          <w:b/>
        </w:rPr>
        <w:t xml:space="preserve"> </w:t>
      </w:r>
      <w:r>
        <w:t>150 mg/m</w:t>
      </w:r>
      <w:r>
        <w:rPr>
          <w:vertAlign w:val="superscript"/>
        </w:rPr>
        <w:t>3</w:t>
      </w:r>
      <w:r>
        <w:t xml:space="preserve">; maximális megengedhető koncentráció </w:t>
      </w:r>
    </w:p>
    <w:p w:rsidR="00972346" w:rsidRDefault="00413677">
      <w:r>
        <w:t>Figyelembe veendő, hogy a bőrön keresztüli felszívódás jelentékeny, a termék bőrrel érintkezve túlé</w:t>
      </w:r>
      <w:r>
        <w:t xml:space="preserve">rzékenységet okozhat (szenzibilizáló hatású lehet) </w:t>
      </w:r>
    </w:p>
    <w:p w:rsidR="00972346" w:rsidRDefault="00413677">
      <w:pPr>
        <w:pStyle w:val="Cmsor2"/>
        <w:ind w:left="520" w:hanging="393"/>
      </w:pPr>
      <w:r>
        <w:t xml:space="preserve">Óvintézkedések az expozíció korlátozásra: </w:t>
      </w:r>
    </w:p>
    <w:p w:rsidR="00972346" w:rsidRDefault="00413677">
      <w:r>
        <w:t xml:space="preserve">Megfelelően szellőző helyen, nyílt lángtól távol dolgozzunk a készítménnyel! Kerüljük el a statikus feltöltődést. </w:t>
      </w:r>
    </w:p>
    <w:p w:rsidR="00972346" w:rsidRDefault="00413677">
      <w:pPr>
        <w:pStyle w:val="Cmsor2"/>
        <w:ind w:left="521" w:hanging="394"/>
      </w:pPr>
      <w:r>
        <w:t xml:space="preserve">Személyekre vonatkozó óvintézkedések: </w:t>
      </w:r>
    </w:p>
    <w:p w:rsidR="00972346" w:rsidRDefault="00413677">
      <w:r>
        <w:t>Légzésv</w:t>
      </w:r>
      <w:r>
        <w:t xml:space="preserve">édelem: nem szükséges, ha a terméket jól szellőző helyen vagy helyi elszívás mellett használjuk. </w:t>
      </w:r>
    </w:p>
    <w:p w:rsidR="00972346" w:rsidRDefault="00413677">
      <w:r>
        <w:t xml:space="preserve">Szemvédelem: védőszemüveg/védőálarc használata szükséges. </w:t>
      </w:r>
    </w:p>
    <w:p w:rsidR="00972346" w:rsidRDefault="00413677">
      <w:pPr>
        <w:spacing w:after="197"/>
        <w:ind w:right="4767"/>
      </w:pPr>
      <w:r>
        <w:t xml:space="preserve">Kézvédelem: védőkesztyű (gumi) szükséges. Bőrvédelem: munkaruha szükséges. </w:t>
      </w:r>
    </w:p>
    <w:p w:rsidR="00972346" w:rsidRDefault="00413677">
      <w:pPr>
        <w:pStyle w:val="Cmsor1"/>
        <w:ind w:left="283" w:hanging="298"/>
      </w:pPr>
      <w:r>
        <w:t>Fizikai és kémiai tulaj</w:t>
      </w:r>
      <w:r>
        <w:t xml:space="preserve">donságok </w:t>
      </w:r>
    </w:p>
    <w:p w:rsidR="00972346" w:rsidRDefault="00413677">
      <w:r>
        <w:t xml:space="preserve">Halmazállapot: </w:t>
      </w:r>
      <w:r>
        <w:tab/>
        <w:t xml:space="preserve">folyékony </w:t>
      </w:r>
    </w:p>
    <w:p w:rsidR="00972346" w:rsidRDefault="00413677">
      <w:r>
        <w:t xml:space="preserve">Szín: </w:t>
      </w:r>
      <w:r>
        <w:tab/>
        <w:t xml:space="preserve">tiszta, áttetsző </w:t>
      </w:r>
    </w:p>
    <w:p w:rsidR="00972346" w:rsidRDefault="00413677">
      <w:pPr>
        <w:spacing w:after="198"/>
      </w:pPr>
      <w:r>
        <w:t xml:space="preserve">Gyúlékonyság: </w:t>
      </w:r>
      <w:r>
        <w:tab/>
        <w:t xml:space="preserve">gyúlékony </w:t>
      </w:r>
    </w:p>
    <w:p w:rsidR="00972346" w:rsidRDefault="00413677">
      <w:pPr>
        <w:pStyle w:val="Cmsor1"/>
        <w:ind w:left="436" w:hanging="451"/>
      </w:pPr>
      <w:r>
        <w:t xml:space="preserve">Stabilitás és reakciókészség  </w:t>
      </w:r>
    </w:p>
    <w:p w:rsidR="00972346" w:rsidRDefault="00413677">
      <w:pPr>
        <w:spacing w:after="92"/>
      </w:pPr>
      <w:r>
        <w:t xml:space="preserve">Stabil oldat. Közönséges körülmények (normál nyomás-, hőmérsékletviszonyok) között a készítmény stabil.  </w:t>
      </w:r>
    </w:p>
    <w:p w:rsidR="00972346" w:rsidRDefault="00413677">
      <w:pPr>
        <w:spacing w:after="89"/>
      </w:pPr>
      <w:r>
        <w:rPr>
          <w:b/>
        </w:rPr>
        <w:t>10.1. Elkerülendő körülmények:</w:t>
      </w:r>
      <w:r>
        <w:t xml:space="preserve"> magas hőmérséklet, szikra, gyújtóforrás, erős hőhatás.  </w:t>
      </w:r>
    </w:p>
    <w:p w:rsidR="00972346" w:rsidRDefault="00413677">
      <w:pPr>
        <w:pStyle w:val="Cmsor2"/>
        <w:ind w:left="636" w:hanging="509"/>
      </w:pPr>
      <w:r>
        <w:t>Elkerülendő anyagok:</w:t>
      </w:r>
      <w:r>
        <w:rPr>
          <w:b w:val="0"/>
        </w:rPr>
        <w:t xml:space="preserve"> nem ismert.  </w:t>
      </w:r>
    </w:p>
    <w:p w:rsidR="00972346" w:rsidRDefault="00413677">
      <w:pPr>
        <w:pStyle w:val="Cmsor2"/>
        <w:spacing w:after="197"/>
        <w:ind w:left="636" w:hanging="509"/>
      </w:pPr>
      <w:r>
        <w:t>Veszélyes bomlástermék:</w:t>
      </w:r>
      <w:r>
        <w:rPr>
          <w:b w:val="0"/>
        </w:rPr>
        <w:t xml:space="preserve"> nem ismert.  </w:t>
      </w:r>
    </w:p>
    <w:p w:rsidR="00972346" w:rsidRDefault="00413677">
      <w:pPr>
        <w:pStyle w:val="Cmsor1"/>
        <w:ind w:left="436" w:hanging="451"/>
      </w:pPr>
      <w:r>
        <w:t xml:space="preserve">Toxikológiai információk  </w:t>
      </w:r>
    </w:p>
    <w:p w:rsidR="00972346" w:rsidRDefault="00413677">
      <w:pPr>
        <w:spacing w:after="91"/>
      </w:pPr>
      <w:r>
        <w:t>A termékkel célzott toxikológiai vizsgálatokat nem végeztek. A készítmény nagy mennyiségeivel történő expozíció hatásai: szédülés, fejfájás, gyengeség, álmosság, szélső esetben öntudatvesztés. A termék bőrrel érintkezve túlérzékenységet okozhat (szenzibili</w:t>
      </w:r>
      <w:r>
        <w:t xml:space="preserve">záló hatású lehet). </w:t>
      </w:r>
    </w:p>
    <w:p w:rsidR="00972346" w:rsidRDefault="00413677">
      <w:r>
        <w:t xml:space="preserve">A metil-metakrilátra vonatkozó akut toxikológiai adatok: </w:t>
      </w:r>
    </w:p>
    <w:p w:rsidR="00972346" w:rsidRDefault="00413677">
      <w:r>
        <w:t>LD</w:t>
      </w:r>
      <w:r>
        <w:rPr>
          <w:vertAlign w:val="subscript"/>
        </w:rPr>
        <w:t>50</w:t>
      </w:r>
      <w:r>
        <w:t xml:space="preserve"> (orális, vándorpatkány): &gt; 5000 mg/ttkg </w:t>
      </w:r>
    </w:p>
    <w:p w:rsidR="00972346" w:rsidRDefault="00413677">
      <w:r>
        <w:t>LD</w:t>
      </w:r>
      <w:r>
        <w:rPr>
          <w:vertAlign w:val="subscript"/>
        </w:rPr>
        <w:t>50</w:t>
      </w:r>
      <w:r>
        <w:t xml:space="preserve"> (bőr, nyúl): &gt; 5000 mg/ttkg </w:t>
      </w:r>
    </w:p>
    <w:p w:rsidR="00972346" w:rsidRDefault="00413677">
      <w:pPr>
        <w:spacing w:after="199"/>
      </w:pPr>
      <w:r>
        <w:t>LC</w:t>
      </w:r>
      <w:r>
        <w:rPr>
          <w:vertAlign w:val="subscript"/>
        </w:rPr>
        <w:t xml:space="preserve">50 </w:t>
      </w:r>
      <w:r>
        <w:t xml:space="preserve">(inhalációs, vándorpatkány): 29,8 mg/l/4 óra  </w:t>
      </w:r>
    </w:p>
    <w:p w:rsidR="00972346" w:rsidRDefault="00413677">
      <w:pPr>
        <w:pStyle w:val="Cmsor1"/>
        <w:ind w:left="436" w:hanging="451"/>
      </w:pPr>
      <w:r>
        <w:t xml:space="preserve">Ökológiai információk  </w:t>
      </w:r>
    </w:p>
    <w:p w:rsidR="00972346" w:rsidRDefault="00413677">
      <w:r>
        <w:t>A termékkel célzott ö</w:t>
      </w:r>
      <w:r>
        <w:t xml:space="preserve">kotoxikológiai vizsgálatokat nem végeztek.  </w:t>
      </w:r>
    </w:p>
    <w:p w:rsidR="00972346" w:rsidRDefault="00413677">
      <w:r>
        <w:t xml:space="preserve">A metil-metakrilát toxicitása a vízi élőlényekre:  </w:t>
      </w:r>
    </w:p>
    <w:p w:rsidR="00972346" w:rsidRDefault="00413677">
      <w:pPr>
        <w:ind w:left="435"/>
      </w:pPr>
      <w:r>
        <w:t>LC</w:t>
      </w:r>
      <w:r>
        <w:rPr>
          <w:vertAlign w:val="subscript"/>
        </w:rPr>
        <w:t xml:space="preserve">50 </w:t>
      </w:r>
      <w:r>
        <w:t xml:space="preserve">(hal, 96 óra): &gt; 79 mg/liter  </w:t>
      </w:r>
    </w:p>
    <w:p w:rsidR="00972346" w:rsidRDefault="00413677">
      <w:pPr>
        <w:ind w:left="435" w:right="5919"/>
      </w:pPr>
      <w:r>
        <w:t>LC</w:t>
      </w:r>
      <w:r>
        <w:rPr>
          <w:vertAlign w:val="subscript"/>
        </w:rPr>
        <w:t xml:space="preserve">50 </w:t>
      </w:r>
      <w:r>
        <w:t>(Daphnia, 48 óra): 69 mg/liter  LC</w:t>
      </w:r>
      <w:r>
        <w:rPr>
          <w:vertAlign w:val="subscript"/>
        </w:rPr>
        <w:t xml:space="preserve">50 </w:t>
      </w:r>
      <w:r>
        <w:t xml:space="preserve">(alga, 96 óra): 170 mg/liter  </w:t>
      </w:r>
    </w:p>
    <w:p w:rsidR="00972346" w:rsidRDefault="00413677">
      <w:pPr>
        <w:ind w:left="72"/>
      </w:pPr>
      <w:r>
        <w:t>A készítményt és maradékait nagy mennyiségben a kö</w:t>
      </w:r>
      <w:r>
        <w:t xml:space="preserve">zcsatornába, élővizekbe engedni nem szabad.   </w:t>
      </w:r>
    </w:p>
    <w:p w:rsidR="00972346" w:rsidRDefault="00413677">
      <w:pPr>
        <w:spacing w:after="199"/>
        <w:ind w:left="72"/>
      </w:pPr>
      <w:r>
        <w:t xml:space="preserve">Dipentén tartalma következtében a termék ártalmas a vízi szervezetekre, a vízi környezetben hosszantartó károsodást okozhat.  </w:t>
      </w:r>
    </w:p>
    <w:p w:rsidR="00972346" w:rsidRDefault="00413677">
      <w:pPr>
        <w:pStyle w:val="Cmsor1"/>
        <w:ind w:left="436" w:hanging="451"/>
      </w:pPr>
      <w:r>
        <w:t xml:space="preserve">Ártalmatlanítási útmutató  </w:t>
      </w:r>
    </w:p>
    <w:p w:rsidR="00972346" w:rsidRDefault="00413677">
      <w:pPr>
        <w:spacing w:after="197"/>
      </w:pPr>
      <w:r>
        <w:t xml:space="preserve">A készítmény maradékainak és hulladékainak kezelésére </w:t>
      </w:r>
      <w:r>
        <w:t xml:space="preserve">a 98/2001. (VI.15.) Kormányrendeletben foglaltak az irányadók. A készítmény hulladékának besorolása a 16/2001. (VII.18.) KöM. rendelet alapján: EWC-kód: 18 01 06 veszélyes hulladék </w:t>
      </w:r>
    </w:p>
    <w:p w:rsidR="00972346" w:rsidRDefault="00413677">
      <w:pPr>
        <w:pStyle w:val="Cmsor1"/>
        <w:ind w:left="436" w:hanging="451"/>
      </w:pPr>
      <w:r>
        <w:lastRenderedPageBreak/>
        <w:t xml:space="preserve">Szállítási információk </w:t>
      </w:r>
    </w:p>
    <w:p w:rsidR="00972346" w:rsidRDefault="00413677">
      <w:r>
        <w:t>A készítmény a veszélyes áruk nemzetközi szállítás</w:t>
      </w:r>
      <w:r>
        <w:t xml:space="preserve">át szabályozó egyezmények – ADR/RID, IMDG, IATA/ICAO – szerint veszélyes áru.  </w:t>
      </w:r>
    </w:p>
    <w:p w:rsidR="00972346" w:rsidRDefault="00413677">
      <w:r>
        <w:t xml:space="preserve">UN-szám: 1247  </w:t>
      </w:r>
    </w:p>
    <w:p w:rsidR="00972346" w:rsidRDefault="00413677">
      <w:r>
        <w:t xml:space="preserve">Az áru megnevezése: METIL-METAKRILÁT MONOMER, STABILIZÁLT </w:t>
      </w:r>
    </w:p>
    <w:p w:rsidR="00972346" w:rsidRDefault="00413677">
      <w:r>
        <w:t xml:space="preserve">ADR/RID: Osztály: 3, Osztályozási kód: F1,  </w:t>
      </w:r>
    </w:p>
    <w:p w:rsidR="00972346" w:rsidRDefault="00413677">
      <w:r>
        <w:t xml:space="preserve"> </w:t>
      </w:r>
      <w:r>
        <w:tab/>
        <w:t xml:space="preserve">Csomagolási csoport: II, Veszélyt jelentő szám: 339 </w:t>
      </w:r>
    </w:p>
    <w:p w:rsidR="00972346" w:rsidRDefault="00413677">
      <w:pPr>
        <w:ind w:left="1001"/>
      </w:pPr>
      <w:r>
        <w:t xml:space="preserve">Bárca: 3 </w:t>
      </w:r>
    </w:p>
    <w:p w:rsidR="00972346" w:rsidRDefault="00413677">
      <w:pPr>
        <w:ind w:left="1001"/>
      </w:pPr>
      <w:r>
        <w:t xml:space="preserve">Megjegyzés: fenti információk 8 kg termék estében érvényesek; egyéb esetek határérték alattiak. </w:t>
      </w:r>
    </w:p>
    <w:p w:rsidR="00972346" w:rsidRDefault="00413677">
      <w:r>
        <w:t xml:space="preserve">IMDG: </w:t>
      </w:r>
      <w:r>
        <w:tab/>
        <w:t xml:space="preserve">Osztály: 3.2, Csomagolási csoport: II, Bárca: 3 </w:t>
      </w:r>
    </w:p>
    <w:p w:rsidR="00972346" w:rsidRDefault="00413677">
      <w:r>
        <w:t xml:space="preserve">IATA: </w:t>
      </w:r>
      <w:r>
        <w:tab/>
        <w:t xml:space="preserve">Osztály: 3.2, Csomagolási csoport: II, Bárca: 3, Megjegyzés: gyúlékony folyadék </w:t>
      </w:r>
    </w:p>
    <w:p w:rsidR="00972346" w:rsidRDefault="00413677">
      <w:pPr>
        <w:pStyle w:val="Cmsor1"/>
        <w:ind w:left="436" w:hanging="451"/>
      </w:pPr>
      <w:r>
        <w:t>Szabá</w:t>
      </w:r>
      <w:r>
        <w:t xml:space="preserve">lyozási információk </w:t>
      </w:r>
    </w:p>
    <w:p w:rsidR="00972346" w:rsidRDefault="00413677">
      <w:r>
        <w:t xml:space="preserve">A biztonsági adatlap megfelel a 1907/2007/EK rendelet, az 1999/45/EK irányelvben foglaltaknak, valamint a 44/2000. </w:t>
      </w:r>
    </w:p>
    <w:p w:rsidR="00972346" w:rsidRDefault="00413677">
      <w:r>
        <w:t xml:space="preserve">(XII.27.) EüM számú rendelet előírásainak. A termék veszélyes készítmény.  </w:t>
      </w:r>
    </w:p>
    <w:p w:rsidR="00972346" w:rsidRDefault="00413677">
      <w:pPr>
        <w:ind w:left="1208" w:right="-15"/>
        <w:jc w:val="left"/>
      </w:pPr>
      <w:r>
        <w:rPr>
          <w:sz w:val="14"/>
        </w:rPr>
        <w:t xml:space="preserve">F </w:t>
      </w:r>
      <w:r>
        <w:rPr>
          <w:sz w:val="14"/>
        </w:rPr>
        <w:tab/>
        <w:t xml:space="preserve">Xi </w:t>
      </w:r>
      <w:r>
        <w:rPr>
          <w:sz w:val="14"/>
        </w:rPr>
        <w:tab/>
        <w:t xml:space="preserve"> </w:t>
      </w:r>
    </w:p>
    <w:p w:rsidR="00972346" w:rsidRDefault="00413677">
      <w:pPr>
        <w:spacing w:after="0" w:line="240" w:lineRule="auto"/>
        <w:ind w:left="827" w:firstLine="0"/>
        <w:jc w:val="lef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20700" cy="517525"/>
            <wp:effectExtent l="0" t="0" r="0" b="0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18160" cy="518160"/>
            <wp:effectExtent l="0" t="0" r="0" b="0"/>
            <wp:docPr id="1285" name="Picture 1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" name="Picture 1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 </w:t>
      </w:r>
    </w:p>
    <w:p w:rsidR="00972346" w:rsidRDefault="00413677">
      <w:pPr>
        <w:spacing w:after="134"/>
        <w:ind w:left="828" w:right="-15"/>
        <w:jc w:val="left"/>
      </w:pPr>
      <w:r>
        <w:rPr>
          <w:sz w:val="14"/>
        </w:rPr>
        <w:t xml:space="preserve">Tűzveszélyes </w:t>
      </w:r>
      <w:r>
        <w:rPr>
          <w:sz w:val="14"/>
        </w:rPr>
        <w:tab/>
        <w:t>Irritatív</w:t>
      </w:r>
      <w:r>
        <w:rPr>
          <w:rFonts w:ascii="Arial" w:eastAsia="Arial" w:hAnsi="Arial" w:cs="Arial"/>
          <w:sz w:val="14"/>
        </w:rPr>
        <w:t xml:space="preserve"> </w:t>
      </w:r>
    </w:p>
    <w:p w:rsidR="00972346" w:rsidRDefault="00413677">
      <w:pPr>
        <w:pStyle w:val="Cmsor2"/>
        <w:numPr>
          <w:ilvl w:val="0"/>
          <w:numId w:val="0"/>
        </w:numPr>
      </w:pPr>
      <w:r>
        <w:t>A k</w:t>
      </w:r>
      <w:r>
        <w:t xml:space="preserve">észítmény veszélyeire/kockázataira utaló R-mondatok: </w:t>
      </w:r>
    </w:p>
    <w:p w:rsidR="00972346" w:rsidRDefault="00413677">
      <w:r>
        <w:t xml:space="preserve">R 11 </w:t>
      </w:r>
      <w:r>
        <w:tab/>
        <w:t xml:space="preserve">Tűzveszélyes </w:t>
      </w:r>
    </w:p>
    <w:p w:rsidR="00972346" w:rsidRDefault="00413677">
      <w:r>
        <w:t xml:space="preserve">R 36/37/38 Szem- és bőrizgató hatású, izgatja a légutakat </w:t>
      </w:r>
    </w:p>
    <w:p w:rsidR="00972346" w:rsidRDefault="00413677">
      <w:r>
        <w:t xml:space="preserve">R 43 </w:t>
      </w:r>
      <w:r>
        <w:tab/>
        <w:t xml:space="preserve">Bőrrel érintkezve túlérzékenységet okozhat (szenzibilizáló hatású lehet) </w:t>
      </w:r>
    </w:p>
    <w:p w:rsidR="00972346" w:rsidRDefault="00413677">
      <w:r>
        <w:t xml:space="preserve">R 52/53 </w:t>
      </w:r>
      <w:r>
        <w:tab/>
        <w:t xml:space="preserve">Ártalmas a vízi szervezetekre, a vízi környezetben hosszantartó károsodást okozhat </w:t>
      </w:r>
    </w:p>
    <w:p w:rsidR="00972346" w:rsidRDefault="00413677">
      <w:pPr>
        <w:pStyle w:val="Cmsor2"/>
        <w:numPr>
          <w:ilvl w:val="0"/>
          <w:numId w:val="0"/>
        </w:numPr>
      </w:pPr>
      <w:r>
        <w:t xml:space="preserve">A készítmény biztonságos használatára utaló S-mondatok: </w:t>
      </w:r>
    </w:p>
    <w:p w:rsidR="00972346" w:rsidRDefault="00413677">
      <w:r>
        <w:t xml:space="preserve">S 2 </w:t>
      </w:r>
      <w:r>
        <w:tab/>
        <w:t xml:space="preserve">Gyermekek kezébe nem kerülhet </w:t>
      </w:r>
    </w:p>
    <w:p w:rsidR="00972346" w:rsidRDefault="00413677">
      <w:r>
        <w:t xml:space="preserve">S 24 </w:t>
      </w:r>
      <w:r>
        <w:tab/>
        <w:t xml:space="preserve">A bőrrel való érintkezés kerülendő </w:t>
      </w:r>
    </w:p>
    <w:p w:rsidR="00972346" w:rsidRDefault="00413677">
      <w:r>
        <w:t xml:space="preserve">S 37 </w:t>
      </w:r>
      <w:r>
        <w:tab/>
        <w:t xml:space="preserve">Megfelelő védőkesztyűt kell viselni </w:t>
      </w:r>
    </w:p>
    <w:p w:rsidR="00972346" w:rsidRDefault="00413677">
      <w:pPr>
        <w:spacing w:after="89"/>
      </w:pPr>
      <w:r>
        <w:t xml:space="preserve">S 45 </w:t>
      </w:r>
      <w:r>
        <w:tab/>
        <w:t xml:space="preserve">Baleset vagy rosszullét esetén orvoshoz kell fordulni. Ha lehetséges, a címkét meg kell mutatni </w:t>
      </w:r>
    </w:p>
    <w:p w:rsidR="00972346" w:rsidRDefault="00413677">
      <w:pPr>
        <w:spacing w:after="91"/>
      </w:pPr>
      <w:r>
        <w:rPr>
          <w:b/>
        </w:rPr>
        <w:t>További információk</w:t>
      </w:r>
      <w:r>
        <w:t>: Irritációt okozó, fokozottan tűzveszélyes, tűzveszélyes és oxidáló anyagoknál és készítmé</w:t>
      </w:r>
      <w:r>
        <w:t xml:space="preserve">nyeknél nem kell feltüntetni az R és S-mondatokat a 125 ml-t meg nem haladó mennyiségű terméket tartalmazó csomagolási egységeken — lásd a 44/2000. (XII. 27.) EüM rendelet 3. sz. melléklet 7. pont. </w:t>
      </w:r>
    </w:p>
    <w:p w:rsidR="00972346" w:rsidRDefault="00413677">
      <w:pPr>
        <w:spacing w:after="199"/>
      </w:pPr>
      <w:r>
        <w:t xml:space="preserve">A gyártó szerint a termék orvostechnikai eszköz és ezért </w:t>
      </w:r>
      <w:r>
        <w:t xml:space="preserve">a termék címkéjén a veszélyjeleket, veszélyszimbólumokat, R- és S-mondatok feltüntetése nem szükséges (lásd: 356/2003 Coll. rendelet/Cseh Köztársaság). </w:t>
      </w:r>
    </w:p>
    <w:p w:rsidR="00972346" w:rsidRDefault="00413677">
      <w:pPr>
        <w:pStyle w:val="Cmsor1"/>
        <w:ind w:left="436" w:hanging="451"/>
      </w:pPr>
      <w:r>
        <w:t xml:space="preserve">Egyéb információk </w:t>
      </w:r>
    </w:p>
    <w:p w:rsidR="00972346" w:rsidRDefault="00413677">
      <w:pPr>
        <w:pStyle w:val="Cmsor2"/>
        <w:numPr>
          <w:ilvl w:val="0"/>
          <w:numId w:val="0"/>
        </w:numPr>
      </w:pPr>
      <w:r>
        <w:t xml:space="preserve">A biztonsági adatlap 3. pontjában szereplő R-mondatok: </w:t>
      </w:r>
    </w:p>
    <w:p w:rsidR="00972346" w:rsidRDefault="00413677">
      <w:r>
        <w:t xml:space="preserve">R 10 </w:t>
      </w:r>
      <w:r>
        <w:tab/>
        <w:t>Kismértékben tűzveszél</w:t>
      </w:r>
      <w:r>
        <w:t xml:space="preserve">yes </w:t>
      </w:r>
    </w:p>
    <w:p w:rsidR="00972346" w:rsidRDefault="00413677">
      <w:r>
        <w:t xml:space="preserve">R 11 </w:t>
      </w:r>
      <w:r>
        <w:tab/>
        <w:t xml:space="preserve">Tűzveszélyes </w:t>
      </w:r>
    </w:p>
    <w:p w:rsidR="00972346" w:rsidRDefault="00413677">
      <w:r>
        <w:t xml:space="preserve">R 36/37 </w:t>
      </w:r>
      <w:r>
        <w:tab/>
        <w:t xml:space="preserve">Szemizgató hatású, izgatja a légutakat </w:t>
      </w:r>
    </w:p>
    <w:p w:rsidR="00972346" w:rsidRDefault="00413677">
      <w:r>
        <w:t xml:space="preserve">R 38 </w:t>
      </w:r>
      <w:r>
        <w:tab/>
        <w:t xml:space="preserve">Bőrizgató hatású </w:t>
      </w:r>
    </w:p>
    <w:p w:rsidR="00972346" w:rsidRDefault="00413677">
      <w:r>
        <w:t xml:space="preserve">R 36/37/38 Szem- és bőrizgató hatású, izgatja a légutakat </w:t>
      </w:r>
    </w:p>
    <w:p w:rsidR="00972346" w:rsidRDefault="00413677">
      <w:pPr>
        <w:spacing w:after="149"/>
      </w:pPr>
      <w:r>
        <w:t xml:space="preserve">R 43 </w:t>
      </w:r>
      <w:r>
        <w:tab/>
        <w:t xml:space="preserve">Bőrrel érintkezve túlérzékenységet okozhat (szenzibilizáló hatású lehet) </w:t>
      </w:r>
    </w:p>
    <w:p w:rsidR="00972346" w:rsidRDefault="00413677">
      <w:pPr>
        <w:pStyle w:val="Cmsor2"/>
        <w:numPr>
          <w:ilvl w:val="0"/>
          <w:numId w:val="0"/>
        </w:numPr>
        <w:spacing w:after="111"/>
      </w:pPr>
      <w:r>
        <w:t>A készítmény besoro</w:t>
      </w:r>
      <w:r>
        <w:t xml:space="preserve">lását a 15. pont tartalmazza. </w:t>
      </w:r>
    </w:p>
    <w:p w:rsidR="00972346" w:rsidRDefault="00413677">
      <w:pPr>
        <w:spacing w:after="108"/>
      </w:pPr>
      <w:r>
        <w:t xml:space="preserve">Ezen biztonsági adatlap a gyártó biztonsági adatlapja alapján (készült: 2009. június 22-én; 6. verzió) és a termék magyar nyelvű (készült: 2009. szeptember 28-án; 1.0-hu verzió) adatlapja felülvizsgálata alapján született. </w:t>
      </w:r>
    </w:p>
    <w:p w:rsidR="00972346" w:rsidRDefault="00413677">
      <w:pPr>
        <w:pStyle w:val="Cmsor2"/>
        <w:numPr>
          <w:ilvl w:val="0"/>
          <w:numId w:val="0"/>
        </w:numPr>
      </w:pPr>
      <w:r>
        <w:t>V</w:t>
      </w:r>
      <w:r>
        <w:t xml:space="preserve">onatkozó magyar törvények és rendeletek: </w:t>
      </w:r>
    </w:p>
    <w:p w:rsidR="00972346" w:rsidRDefault="00413677">
      <w:pPr>
        <w:spacing w:after="89"/>
      </w:pPr>
      <w:r>
        <w:t>16/2006. (III.27.) EüM rendelet, illetve 2010 III. 21-től hatályos 4/2009. (III.17.) EüM rendelet az orvostechnikai eszközökről; 8/2003. (III.23.) ESzCsM rendelet az in vitro diagnosztikai orvostechnikai eszközökrő</w:t>
      </w:r>
      <w:r>
        <w:t xml:space="preserve">l.  </w:t>
      </w:r>
    </w:p>
    <w:p w:rsidR="00972346" w:rsidRDefault="00413677">
      <w:pPr>
        <w:spacing w:after="89"/>
      </w:pPr>
      <w:r>
        <w:lastRenderedPageBreak/>
        <w:t>Kémiai biztonság: a 2004. évi XXVI. törvénnyel módosított 2000. évi XXV. törvény a kémiai biztonságról; a 38/2008. (X.3.) EüM rendelet, az 52/2007. (XI.30.) EüM, a 26/2007. (VI.7.) EüM, a 33/2004. (IV.26.) EszCsM, a 30/2003. (V.21.) EüM rendeletek a v</w:t>
      </w:r>
      <w:r>
        <w:t>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</w:t>
      </w:r>
      <w:r>
        <w:t xml:space="preserve">ágáról szóló 25/2000. (IX.30.) EüM–SZCSM együttes rendelet módosításáról. </w:t>
      </w:r>
    </w:p>
    <w:p w:rsidR="00972346" w:rsidRDefault="00413677">
      <w:pPr>
        <w:spacing w:after="89"/>
      </w:pPr>
      <w:r>
        <w:t>Hulladék: a 2004. évi XXIX. törvénnyel módosított 2000. évi XLIII. törvény a hulladékgazdálkodásról; 98/2001.(VI.15.) Kormányrendelet a veszélyes hulladékkal kapcsolatos tevékenység</w:t>
      </w:r>
      <w:r>
        <w:t xml:space="preserve">ek végzésének feltételeiről, és a 16/2001. (VII. 18.) KöM rendelet a hulladékok jegyzékéről; a 195/2002. (IX.6.) Kormányrendelettel módosított 94/2002. (V.5.) Kormányrendelet a csomagolásról és a csomagolási hulladék kezelésének részletes szabályairól. </w:t>
      </w:r>
    </w:p>
    <w:p w:rsidR="00972346" w:rsidRDefault="00413677">
      <w:pPr>
        <w:spacing w:after="168"/>
        <w:ind w:right="777"/>
      </w:pPr>
      <w:r>
        <w:t>Tű</w:t>
      </w:r>
      <w:r>
        <w:t xml:space="preserve">zvédelem: az 1996. évi XXXI. törvény a tűz elleni védekezésről, a műszaki mentésről és a tűzoltóságról; a 9/2008. (II.22.) ÖTM rendelet. </w:t>
      </w:r>
    </w:p>
    <w:p w:rsidR="00972346" w:rsidRDefault="00413677">
      <w:r>
        <w:t xml:space="preserve">A biztonsági adatlapban foglalt információk, adatok és ajánlások ismereteink és tájékozottságunk legjaván alapszanak, </w:t>
      </w:r>
      <w:r>
        <w:t>a vevői kiszerelésre érvényesek, kivéve ahol ezt külön jelöltük. A biztonsági adatlap csak a biztonsági követelmények szempontjából jellemzi a terméket, és nem arra szolgál, hogy annak bizonyos tulajdonságait garantálja, nem helyettesíti a termékspecifikác</w:t>
      </w:r>
      <w:r>
        <w:t xml:space="preserve">iót.  </w:t>
      </w:r>
    </w:p>
    <w:p w:rsidR="00972346" w:rsidRDefault="00413677">
      <w:r>
        <w:t xml:space="preserve">A terméket a céljainak megfelelő munkahelyen kell használni, be kell tartani a melléklet használati utasítást, valamint a vegyi anyagok kezelésére vonatkozó általános munkavédelmi szabályokat. </w:t>
      </w:r>
    </w:p>
    <w:sectPr w:rsidR="00972346">
      <w:headerReference w:type="even" r:id="rId10"/>
      <w:headerReference w:type="default" r:id="rId11"/>
      <w:headerReference w:type="first" r:id="rId12"/>
      <w:pgSz w:w="11906" w:h="16838"/>
      <w:pgMar w:top="1603" w:right="1131" w:bottom="1618" w:left="1275" w:header="741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77" w:rsidRDefault="00413677">
      <w:pPr>
        <w:spacing w:after="0" w:line="240" w:lineRule="auto"/>
      </w:pPr>
      <w:r>
        <w:separator/>
      </w:r>
    </w:p>
  </w:endnote>
  <w:endnote w:type="continuationSeparator" w:id="0">
    <w:p w:rsidR="00413677" w:rsidRDefault="0041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77" w:rsidRDefault="00413677">
      <w:pPr>
        <w:spacing w:after="0" w:line="240" w:lineRule="auto"/>
      </w:pPr>
      <w:r>
        <w:separator/>
      </w:r>
    </w:p>
  </w:footnote>
  <w:footnote w:type="continuationSeparator" w:id="0">
    <w:p w:rsidR="00413677" w:rsidRDefault="0041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46" w:rsidRDefault="00413677">
    <w:pPr>
      <w:spacing w:after="23" w:line="240" w:lineRule="auto"/>
      <w:ind w:left="0" w:firstLine="0"/>
      <w:jc w:val="left"/>
    </w:pPr>
    <w:r>
      <w:rPr>
        <w:sz w:val="14"/>
      </w:rPr>
      <w:t xml:space="preserve">Fájlnév: Biztonsági adatlap Superacryl folyadék </w:t>
    </w:r>
  </w:p>
  <w:p w:rsidR="00972346" w:rsidRDefault="00413677">
    <w:pPr>
      <w:spacing w:after="21" w:line="240" w:lineRule="auto"/>
      <w:ind w:left="0" w:firstLine="0"/>
      <w:jc w:val="left"/>
    </w:pPr>
    <w:r>
      <w:rPr>
        <w:sz w:val="14"/>
      </w:rPr>
      <w:t xml:space="preserve">verziószám: 1.1 hu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</w:t>
    </w:r>
  </w:p>
  <w:p w:rsidR="00972346" w:rsidRDefault="00413677">
    <w:pPr>
      <w:spacing w:after="23" w:line="240" w:lineRule="auto"/>
      <w:ind w:left="0" w:firstLine="0"/>
      <w:jc w:val="left"/>
    </w:pPr>
    <w:r>
      <w:rPr>
        <w:sz w:val="14"/>
      </w:rPr>
      <w:t xml:space="preserve">Készült: 2010. január 11. </w:t>
    </w:r>
  </w:p>
  <w:p w:rsidR="00972346" w:rsidRDefault="00413677">
    <w:pPr>
      <w:spacing w:after="0" w:line="240" w:lineRule="auto"/>
      <w:ind w:left="0" w:firstLine="0"/>
      <w:jc w:val="left"/>
    </w:pPr>
    <w:r>
      <w:rPr>
        <w:sz w:val="14"/>
      </w:rPr>
      <w:t>Utolsó nyomtatás: 2010. januá</w:t>
    </w:r>
    <w:r>
      <w:rPr>
        <w:sz w:val="14"/>
      </w:rPr>
      <w:t xml:space="preserve">r 11.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46" w:rsidRDefault="00413677">
    <w:pPr>
      <w:spacing w:after="23" w:line="240" w:lineRule="auto"/>
      <w:ind w:left="0" w:firstLine="0"/>
      <w:jc w:val="left"/>
    </w:pPr>
    <w:r>
      <w:rPr>
        <w:sz w:val="14"/>
      </w:rPr>
      <w:t xml:space="preserve">Fájlnév: Biztonsági adatlap Superacryl folyadék </w:t>
    </w:r>
  </w:p>
  <w:p w:rsidR="00972346" w:rsidRDefault="00413677">
    <w:pPr>
      <w:spacing w:after="21" w:line="240" w:lineRule="auto"/>
      <w:ind w:left="0" w:firstLine="0"/>
      <w:jc w:val="left"/>
    </w:pPr>
    <w:r>
      <w:rPr>
        <w:sz w:val="14"/>
      </w:rPr>
      <w:t xml:space="preserve">verziószám: 1.1 hu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57013" w:rsidRPr="00457013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457013" w:rsidRPr="00457013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</w:t>
    </w:r>
  </w:p>
  <w:p w:rsidR="00972346" w:rsidRDefault="00413677">
    <w:pPr>
      <w:spacing w:after="23" w:line="240" w:lineRule="auto"/>
      <w:ind w:left="0" w:firstLine="0"/>
      <w:jc w:val="left"/>
    </w:pPr>
    <w:r>
      <w:rPr>
        <w:sz w:val="14"/>
      </w:rPr>
      <w:t xml:space="preserve">Készült: 2010. január 11. </w:t>
    </w:r>
  </w:p>
  <w:p w:rsidR="00972346" w:rsidRDefault="00413677">
    <w:pPr>
      <w:spacing w:after="0" w:line="240" w:lineRule="auto"/>
      <w:ind w:left="0" w:firstLine="0"/>
      <w:jc w:val="left"/>
    </w:pPr>
    <w:r>
      <w:rPr>
        <w:sz w:val="14"/>
      </w:rPr>
      <w:t xml:space="preserve">Utolsó nyomtatás: 2010. január 11.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346" w:rsidRDefault="00413677">
    <w:pPr>
      <w:spacing w:after="23" w:line="240" w:lineRule="auto"/>
      <w:ind w:left="0" w:firstLine="0"/>
      <w:jc w:val="left"/>
    </w:pPr>
    <w:r>
      <w:rPr>
        <w:sz w:val="14"/>
      </w:rPr>
      <w:t xml:space="preserve">Fájlnév: Biztonsági adatlap Superacryl folyadék </w:t>
    </w:r>
  </w:p>
  <w:p w:rsidR="00972346" w:rsidRDefault="00413677">
    <w:pPr>
      <w:spacing w:after="21" w:line="240" w:lineRule="auto"/>
      <w:ind w:left="0" w:firstLine="0"/>
      <w:jc w:val="left"/>
    </w:pPr>
    <w:r>
      <w:rPr>
        <w:sz w:val="14"/>
      </w:rPr>
      <w:t xml:space="preserve">verziószám: 1.1 hu </w:t>
    </w:r>
    <w:r>
      <w:rPr>
        <w:sz w:val="1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4"/>
      </w:rPr>
      <w:t>4</w:t>
    </w:r>
    <w:r>
      <w:rPr>
        <w:sz w:val="14"/>
      </w:rPr>
      <w:fldChar w:fldCharType="end"/>
    </w:r>
    <w:r>
      <w:rPr>
        <w:sz w:val="14"/>
      </w:rPr>
      <w:t xml:space="preserve"> </w:t>
    </w:r>
  </w:p>
  <w:p w:rsidR="00972346" w:rsidRDefault="00413677">
    <w:pPr>
      <w:spacing w:after="23" w:line="240" w:lineRule="auto"/>
      <w:ind w:left="0" w:firstLine="0"/>
      <w:jc w:val="left"/>
    </w:pPr>
    <w:r>
      <w:rPr>
        <w:sz w:val="14"/>
      </w:rPr>
      <w:t xml:space="preserve">Készült: 2010. január 11. </w:t>
    </w:r>
  </w:p>
  <w:p w:rsidR="00972346" w:rsidRDefault="00413677">
    <w:pPr>
      <w:spacing w:after="0" w:line="240" w:lineRule="auto"/>
      <w:ind w:left="0" w:firstLine="0"/>
      <w:jc w:val="left"/>
    </w:pPr>
    <w:r>
      <w:rPr>
        <w:sz w:val="14"/>
      </w:rPr>
      <w:t xml:space="preserve">Utolsó nyomtatás: 2010. január 11.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088"/>
    <w:multiLevelType w:val="multilevel"/>
    <w:tmpl w:val="CEA08DF4"/>
    <w:lvl w:ilvl="0">
      <w:start w:val="1"/>
      <w:numFmt w:val="decimal"/>
      <w:pStyle w:val="Cmsor1"/>
      <w:lvlText w:val="%1."/>
      <w:lvlJc w:val="left"/>
      <w:pPr>
        <w:ind w:left="0"/>
      </w:pPr>
      <w:rPr>
        <w:rFonts w:ascii="Tahoma" w:eastAsia="Tahoma" w:hAnsi="Tahoma" w:cs="Tahoma"/>
        <w:b/>
        <w:i w:val="0"/>
        <w:strike w:val="0"/>
        <w:dstrike w:val="0"/>
        <w:color w:val="CCFFF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Cmsor2"/>
      <w:lvlText w:val="%1.%2."/>
      <w:lvlJc w:val="left"/>
      <w:pPr>
        <w:ind w:left="14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ahoma" w:eastAsia="Tahoma" w:hAnsi="Tahoma" w:cs="Tahoma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46"/>
    <w:rsid w:val="00413677"/>
    <w:rsid w:val="00457013"/>
    <w:rsid w:val="009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7815D-AD6E-4396-93AA-EC2AD017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8" w:line="246" w:lineRule="auto"/>
      <w:ind w:left="137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pBdr>
        <w:top w:val="single" w:sz="6" w:space="0" w:color="17365D"/>
        <w:left w:val="single" w:sz="6" w:space="0" w:color="17365D"/>
        <w:bottom w:val="single" w:sz="6" w:space="0" w:color="17365D"/>
        <w:right w:val="single" w:sz="6" w:space="0" w:color="17365D"/>
      </w:pBdr>
      <w:shd w:val="clear" w:color="auto" w:fill="666699"/>
      <w:spacing w:after="175" w:line="246" w:lineRule="auto"/>
      <w:ind w:left="-5" w:right="-15" w:hanging="10"/>
      <w:outlineLvl w:val="0"/>
    </w:pPr>
    <w:rPr>
      <w:rFonts w:ascii="Tahoma" w:eastAsia="Tahoma" w:hAnsi="Tahoma" w:cs="Tahoma"/>
      <w:b/>
      <w:color w:val="CCFFFF"/>
      <w:sz w:val="2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numPr>
        <w:ilvl w:val="1"/>
        <w:numId w:val="1"/>
      </w:numPr>
      <w:spacing w:after="39" w:line="246" w:lineRule="auto"/>
      <w:ind w:left="137" w:right="-15" w:hanging="10"/>
      <w:outlineLvl w:val="1"/>
    </w:pPr>
    <w:rPr>
      <w:rFonts w:ascii="Tahoma" w:eastAsia="Tahoma" w:hAnsi="Tahoma" w:cs="Tahoma"/>
      <w:b/>
      <w:color w:val="000000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ahoma" w:eastAsia="Tahoma" w:hAnsi="Tahoma" w:cs="Tahoma"/>
      <w:b/>
      <w:color w:val="000000"/>
      <w:sz w:val="18"/>
    </w:rPr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CC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1653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OÉTI User</dc:creator>
  <cp:keywords/>
  <cp:lastModifiedBy>Pega User</cp:lastModifiedBy>
  <cp:revision>2</cp:revision>
  <dcterms:created xsi:type="dcterms:W3CDTF">2022-12-01T14:50:00Z</dcterms:created>
  <dcterms:modified xsi:type="dcterms:W3CDTF">2022-12-01T14:50:00Z</dcterms:modified>
</cp:coreProperties>
</file>